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7C" w:rsidRDefault="009E4F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ZSM/PN/4/2017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1a do SIWZ</w:t>
      </w:r>
    </w:p>
    <w:p w:rsidR="007C6B7C" w:rsidRDefault="007C6B7C">
      <w:pPr>
        <w:rPr>
          <w:rFonts w:ascii="Times New Roman" w:hAnsi="Times New Roman" w:cs="Times New Roman"/>
          <w:sz w:val="24"/>
          <w:szCs w:val="24"/>
        </w:rPr>
      </w:pPr>
    </w:p>
    <w:p w:rsidR="007C6B7C" w:rsidRDefault="009E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7C6B7C" w:rsidRDefault="007C6B7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C6B7C" w:rsidRDefault="009E4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 I części przetargu</w:t>
      </w:r>
    </w:p>
    <w:p w:rsidR="007C6B7C" w:rsidRDefault="009E4F9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„Doposażenie pracowni Higienistki Stomatologicznej”</w:t>
      </w:r>
    </w:p>
    <w:p w:rsidR="007C6B7C" w:rsidRDefault="007C6B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B7C" w:rsidRDefault="009E4F93">
      <w:pPr>
        <w:spacing w:line="36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Nazwa zamówienia: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Doposażenie pracowni Higienistki Stomatologicznej, Opiekuna Medycznego i Technika Farmaceutycznego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</w:p>
    <w:p w:rsidR="007C6B7C" w:rsidRDefault="009E4F93">
      <w:pPr>
        <w:pStyle w:val="Akapitzlist"/>
        <w:numPr>
          <w:ilvl w:val="0"/>
          <w:numId w:val="6"/>
        </w:numPr>
        <w:spacing w:after="160" w:line="256" w:lineRule="auto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Asystor -  2 szt.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cztery szuflady </w:t>
      </w:r>
      <w:r>
        <w:rPr>
          <w:rFonts w:ascii="Times New Roman" w:hAnsi="Times New Roman" w:cs="Times New Roman"/>
          <w:sz w:val="24"/>
          <w:lang w:val="en-US"/>
        </w:rPr>
        <w:t>z wkładami</w:t>
      </w:r>
      <w:r>
        <w:rPr>
          <w:rFonts w:ascii="Times New Roman" w:hAnsi="Times New Roman" w:cs="Times New Roman"/>
          <w:sz w:val="24"/>
        </w:rPr>
        <w:t>,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DF0B3C">
        <w:rPr>
          <w:rFonts w:ascii="Times New Roman" w:hAnsi="Times New Roman" w:cs="Times New Roman"/>
          <w:sz w:val="24"/>
        </w:rPr>
        <w:t>asystor</w:t>
      </w:r>
      <w:proofErr w:type="spellEnd"/>
      <w:r w:rsidRPr="00DF0B3C">
        <w:rPr>
          <w:rFonts w:ascii="Times New Roman" w:hAnsi="Times New Roman" w:cs="Times New Roman"/>
          <w:sz w:val="24"/>
        </w:rPr>
        <w:t xml:space="preserve"> wykonany z materiałów łatwo zmywalnych,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podstawa na kółkach </w:t>
      </w:r>
      <w:r>
        <w:rPr>
          <w:rFonts w:ascii="Times New Roman" w:hAnsi="Times New Roman" w:cs="Times New Roman"/>
          <w:sz w:val="24"/>
          <w:lang w:val="en-US"/>
        </w:rPr>
        <w:t>skrętnych</w:t>
      </w:r>
      <w:r>
        <w:rPr>
          <w:rFonts w:ascii="Times New Roman" w:hAnsi="Times New Roman" w:cs="Times New Roman"/>
          <w:sz w:val="24"/>
        </w:rPr>
        <w:t>.</w:t>
      </w:r>
    </w:p>
    <w:p w:rsidR="007C6B7C" w:rsidRDefault="007C6B7C">
      <w:pPr>
        <w:pStyle w:val="Akapitzlist"/>
        <w:rPr>
          <w:rFonts w:ascii="Times New Roman" w:hAnsi="Times New Roman" w:cs="Times New Roman"/>
          <w:sz w:val="24"/>
        </w:rPr>
      </w:pPr>
    </w:p>
    <w:p w:rsidR="007C6B7C" w:rsidRDefault="009E4F93">
      <w:pPr>
        <w:pStyle w:val="Akapitzlist"/>
        <w:numPr>
          <w:ilvl w:val="0"/>
          <w:numId w:val="6"/>
        </w:numPr>
        <w:spacing w:after="160" w:line="256" w:lineRule="auto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Piaskarka ze skalerem – 1 zestaw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 składa się z:</w:t>
      </w:r>
    </w:p>
    <w:p w:rsidR="007C6B7C" w:rsidRDefault="009E4F93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skalera ultradźwiękowego wolnostojącego, z następującymi elementami wyposażenia: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rękojeść typu PUN,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końcówki robocze A, P oraz PS,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klucz do końcówek,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pudełko do sterylizacji,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12 miesięcy,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przeszkolenie z używania sprzętu w październiku 2017 r.</w:t>
      </w:r>
    </w:p>
    <w:p w:rsidR="007C6B7C" w:rsidRDefault="009E4F93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piaskarki podłączanej na rękaw turbinowy unitu stomatologicznego, z następującym wyposażeniem:  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końcówka do pracy naddziąsłowej,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końcówka do pracy poddziąsłowej,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końcówka plastykowa do pracy z implantami,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plastykowe noski do piaskarki,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końcówka do czyszczenia dyszy piaskarki,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klucz do końcówek,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metalowe pudełko na końcówki,</w:t>
      </w:r>
    </w:p>
    <w:p w:rsidR="007C6B7C" w:rsidRDefault="00DF0B3C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 w:rsidRPr="00AD11FB">
        <w:rPr>
          <w:rFonts w:ascii="Times New Roman" w:hAnsi="Times New Roman" w:cs="Times New Roman"/>
          <w:sz w:val="24"/>
        </w:rPr>
        <w:t>o</w:t>
      </w:r>
      <w:r w:rsidR="009E4F93" w:rsidRPr="00AD11FB">
        <w:rPr>
          <w:rFonts w:ascii="Times New Roman" w:hAnsi="Times New Roman" w:cs="Times New Roman"/>
          <w:sz w:val="24"/>
        </w:rPr>
        <w:t>kulary</w:t>
      </w:r>
      <w:r w:rsidR="009E4F93">
        <w:rPr>
          <w:rFonts w:ascii="Times New Roman" w:hAnsi="Times New Roman" w:cs="Times New Roman"/>
          <w:sz w:val="24"/>
          <w:lang w:val="en-US"/>
        </w:rPr>
        <w:t xml:space="preserve"> </w:t>
      </w:r>
      <w:r w:rsidR="009E4F93" w:rsidRPr="00AD11FB">
        <w:rPr>
          <w:rFonts w:ascii="Times New Roman" w:hAnsi="Times New Roman" w:cs="Times New Roman"/>
          <w:sz w:val="24"/>
        </w:rPr>
        <w:t>ochr</w:t>
      </w:r>
      <w:bookmarkStart w:id="0" w:name="_GoBack"/>
      <w:bookmarkEnd w:id="0"/>
      <w:r w:rsidR="009E4F93" w:rsidRPr="00AD11FB">
        <w:rPr>
          <w:rFonts w:ascii="Times New Roman" w:hAnsi="Times New Roman" w:cs="Times New Roman"/>
          <w:sz w:val="24"/>
        </w:rPr>
        <w:t>onne</w:t>
      </w:r>
      <w:r w:rsidR="009E4F93">
        <w:rPr>
          <w:rFonts w:ascii="Times New Roman" w:hAnsi="Times New Roman" w:cs="Times New Roman"/>
          <w:sz w:val="24"/>
          <w:lang w:val="en-US"/>
        </w:rPr>
        <w:t xml:space="preserve"> - 2 </w:t>
      </w:r>
      <w:proofErr w:type="spellStart"/>
      <w:r w:rsidR="009E4F93">
        <w:rPr>
          <w:rFonts w:ascii="Times New Roman" w:hAnsi="Times New Roman" w:cs="Times New Roman"/>
          <w:sz w:val="24"/>
          <w:lang w:val="en-US"/>
        </w:rPr>
        <w:t>szt</w:t>
      </w:r>
      <w:proofErr w:type="spellEnd"/>
      <w:r w:rsidR="009E4F93">
        <w:rPr>
          <w:rFonts w:ascii="Times New Roman" w:hAnsi="Times New Roman" w:cs="Times New Roman"/>
          <w:sz w:val="24"/>
          <w:lang w:val="en-US"/>
        </w:rPr>
        <w:t>.,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paczki piasku (gramatura minimum 250 g),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gwarancja minimum 12 miesięcy,</w:t>
      </w:r>
    </w:p>
    <w:p w:rsidR="007C6B7C" w:rsidRDefault="009E4F93">
      <w:pPr>
        <w:pStyle w:val="Akapitzlist"/>
        <w:numPr>
          <w:ilvl w:val="2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przeszkolenie z używania sprzętu w październiku 2017 r.</w:t>
      </w:r>
    </w:p>
    <w:p w:rsidR="007C6B7C" w:rsidRDefault="007C6B7C">
      <w:pPr>
        <w:pStyle w:val="Akapitzlist"/>
        <w:ind w:left="2160"/>
        <w:rPr>
          <w:rFonts w:ascii="Times New Roman" w:hAnsi="Times New Roman" w:cs="Times New Roman"/>
          <w:sz w:val="24"/>
        </w:rPr>
      </w:pPr>
    </w:p>
    <w:p w:rsidR="007C6B7C" w:rsidRDefault="009E4F93">
      <w:pPr>
        <w:pStyle w:val="Akapitzlist"/>
        <w:numPr>
          <w:ilvl w:val="0"/>
          <w:numId w:val="6"/>
        </w:numPr>
        <w:spacing w:after="160" w:line="256" w:lineRule="auto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Pistolet do amalgamatu z metalową końcówką – 4 szt.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zagięty pod kątem 90°,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zagięty pod kątem 45°,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zagięty pod kątem 15°,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prosty.</w:t>
      </w:r>
    </w:p>
    <w:p w:rsidR="007C6B7C" w:rsidRDefault="007C6B7C">
      <w:pPr>
        <w:pStyle w:val="Akapitzlist"/>
        <w:rPr>
          <w:rFonts w:ascii="Times New Roman" w:hAnsi="Times New Roman" w:cs="Times New Roman"/>
          <w:sz w:val="24"/>
        </w:rPr>
      </w:pPr>
    </w:p>
    <w:p w:rsidR="007C6B7C" w:rsidRDefault="009E4F93">
      <w:pPr>
        <w:pStyle w:val="Akapitzlist"/>
        <w:numPr>
          <w:ilvl w:val="0"/>
          <w:numId w:val="6"/>
        </w:numPr>
        <w:spacing w:after="160" w:line="256" w:lineRule="auto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Łyżki do fluoryzacji – 10 opakowań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opakowanie składa się ze 100 sztuk jednorazowych łyżek do fluoryzacji,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dostawie</w:t>
      </w:r>
      <w:r w:rsidRPr="00DF0B3C">
        <w:rPr>
          <w:rFonts w:ascii="Times New Roman" w:hAnsi="Times New Roman" w:cs="Times New Roman"/>
          <w:sz w:val="24"/>
        </w:rPr>
        <w:t xml:space="preserve"> łyżki w rozmiarze małym, średnim i dużym</w:t>
      </w:r>
      <w:r>
        <w:rPr>
          <w:rFonts w:ascii="Times New Roman" w:hAnsi="Times New Roman" w:cs="Times New Roman"/>
          <w:sz w:val="24"/>
        </w:rPr>
        <w:t>.</w:t>
      </w:r>
    </w:p>
    <w:p w:rsidR="007C6B7C" w:rsidRDefault="007C6B7C">
      <w:pPr>
        <w:pStyle w:val="Akapitzlist"/>
        <w:rPr>
          <w:rFonts w:ascii="Times New Roman" w:hAnsi="Times New Roman" w:cs="Times New Roman"/>
          <w:sz w:val="24"/>
        </w:rPr>
      </w:pPr>
    </w:p>
    <w:p w:rsidR="007C6B7C" w:rsidRDefault="009E4F93">
      <w:pPr>
        <w:pStyle w:val="Akapitzlist"/>
        <w:numPr>
          <w:ilvl w:val="0"/>
          <w:numId w:val="6"/>
        </w:numPr>
        <w:spacing w:after="160" w:line="256" w:lineRule="auto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Rozwierak do warg </w:t>
      </w:r>
      <w:r w:rsidRPr="00DF0B3C">
        <w:rPr>
          <w:rFonts w:ascii="Times New Roman" w:hAnsi="Times New Roman" w:cs="Times New Roman"/>
          <w:b/>
          <w:sz w:val="24"/>
        </w:rPr>
        <w:t>i policzków</w:t>
      </w:r>
      <w:r>
        <w:rPr>
          <w:rFonts w:ascii="Times New Roman" w:hAnsi="Times New Roman" w:cs="Times New Roman"/>
          <w:b/>
          <w:sz w:val="24"/>
        </w:rPr>
        <w:t xml:space="preserve"> – 4 szt.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mały – 1 szt.,</w:t>
      </w:r>
    </w:p>
    <w:p w:rsidR="007C6B7C" w:rsidRDefault="009E4F9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duży – 3 szt.</w:t>
      </w:r>
    </w:p>
    <w:p w:rsidR="007C6B7C" w:rsidRDefault="007C6B7C">
      <w:pPr>
        <w:pStyle w:val="Akapitzlist"/>
        <w:rPr>
          <w:rFonts w:ascii="Times New Roman" w:hAnsi="Times New Roman" w:cs="Times New Roman"/>
          <w:sz w:val="24"/>
        </w:rPr>
      </w:pPr>
    </w:p>
    <w:p w:rsidR="007C6B7C" w:rsidRDefault="007C6B7C">
      <w:pPr>
        <w:pStyle w:val="Akapitzlist"/>
        <w:rPr>
          <w:lang w:eastAsia="pl-PL"/>
        </w:rPr>
      </w:pPr>
    </w:p>
    <w:sectPr w:rsidR="007C6B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9D" w:rsidRDefault="00A4459D">
      <w:pPr>
        <w:spacing w:after="0" w:line="240" w:lineRule="auto"/>
      </w:pPr>
      <w:r>
        <w:separator/>
      </w:r>
    </w:p>
  </w:endnote>
  <w:endnote w:type="continuationSeparator" w:id="0">
    <w:p w:rsidR="00A4459D" w:rsidRDefault="00A4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7C" w:rsidRDefault="009E4F93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zh-CN"/>
      </w:rPr>
    </w:pPr>
    <w:r>
      <w:rPr>
        <w:rFonts w:ascii="Times New Roman" w:eastAsia="Times New Roman" w:hAnsi="Times New Roman" w:cs="Times New Roman"/>
        <w:bCs/>
        <w:sz w:val="20"/>
        <w:szCs w:val="20"/>
        <w:lang w:eastAsia="zh-CN"/>
      </w:rPr>
      <w:t xml:space="preserve">Wydatek finansowany z projektu </w:t>
    </w:r>
    <w:r>
      <w:rPr>
        <w:rFonts w:ascii="Times New Roman" w:eastAsia="Times New Roman" w:hAnsi="Times New Roman" w:cs="Times New Roman"/>
        <w:bCs/>
        <w:i/>
        <w:sz w:val="20"/>
        <w:szCs w:val="20"/>
        <w:lang w:eastAsia="zh-CN"/>
      </w:rPr>
      <w:t>„Wsparcie kształcenia zawodowego w kluczowych dla regionu branżach”</w:t>
    </w:r>
    <w:r>
      <w:rPr>
        <w:rFonts w:ascii="Times New Roman" w:eastAsia="Times New Roman" w:hAnsi="Times New Roman" w:cs="Times New Roman"/>
        <w:bCs/>
        <w:sz w:val="20"/>
        <w:szCs w:val="20"/>
        <w:lang w:eastAsia="zh-CN"/>
      </w:rPr>
      <w:t xml:space="preserve">, który jest realizowany na podstawie decyzji o dofinansowanie projektu numer 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RPOP.10.04.00-16.0001/16-00 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br/>
      <w:t>z 24.10.2016 r.</w:t>
    </w:r>
  </w:p>
  <w:p w:rsidR="007C6B7C" w:rsidRDefault="009E4F93">
    <w:pPr>
      <w:suppressAutoHyphens/>
      <w:spacing w:after="0" w:line="240" w:lineRule="auto"/>
      <w:ind w:left="50"/>
      <w:jc w:val="center"/>
      <w:rPr>
        <w:rFonts w:ascii="Times New Roman" w:eastAsia="Palatino Linotype" w:hAnsi="Times New Roman" w:cs="Times New Roman"/>
        <w:color w:val="00000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zh-CN"/>
      </w:rPr>
      <w:t>Projekt dofinansowany ze środków Europejskiego Funduszu Rozwoju Regionalnego w ramach Regionalnego Programu Operacyjnego Województwa Opolskiego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9D" w:rsidRDefault="00A4459D">
      <w:pPr>
        <w:spacing w:after="0" w:line="240" w:lineRule="auto"/>
      </w:pPr>
      <w:r>
        <w:separator/>
      </w:r>
    </w:p>
  </w:footnote>
  <w:footnote w:type="continuationSeparator" w:id="0">
    <w:p w:rsidR="00A4459D" w:rsidRDefault="00A4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B7C" w:rsidRDefault="009E4F93">
    <w:pPr>
      <w:pStyle w:val="Nagwek"/>
    </w:pPr>
    <w:r>
      <w:rPr>
        <w:noProof/>
        <w:lang w:eastAsia="pl-PL"/>
      </w:rPr>
      <w:drawing>
        <wp:inline distT="0" distB="0" distL="0" distR="0">
          <wp:extent cx="5828030" cy="768350"/>
          <wp:effectExtent l="0" t="0" r="1270" b="0"/>
          <wp:docPr id="409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28030" cy="768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19463D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00000003"/>
    <w:multiLevelType w:val="hybridMultilevel"/>
    <w:tmpl w:val="B5809E24"/>
    <w:lvl w:ilvl="0" w:tplc="E15E5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BB98297C"/>
    <w:lvl w:ilvl="0">
      <w:start w:val="5"/>
      <w:numFmt w:val="bullet"/>
      <w:lvlText w:val="-"/>
      <w:lvlJc w:val="left"/>
      <w:pPr>
        <w:tabs>
          <w:tab w:val="left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left" w:pos="858"/>
        </w:tabs>
        <w:ind w:left="858" w:hanging="432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left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left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left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C4E2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0000007"/>
    <w:multiLevelType w:val="hybridMultilevel"/>
    <w:tmpl w:val="0AE0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D5A08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C"/>
    <w:rsid w:val="007C6B7C"/>
    <w:rsid w:val="009E4F93"/>
    <w:rsid w:val="00A4459D"/>
    <w:rsid w:val="00AD11FB"/>
    <w:rsid w:val="00B77BA6"/>
    <w:rsid w:val="00BA11F2"/>
    <w:rsid w:val="00D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9E097-41F6-4767-B806-F031C891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Cambria" w:eastAsia="SimSun" w:hAnsi="Cambria" w:cs="SimSun"/>
      <w:color w:val="365F91"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A3C93-B20E-4671-8E54-1DE2F2C1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Kadry</cp:lastModifiedBy>
  <cp:revision>3</cp:revision>
  <dcterms:created xsi:type="dcterms:W3CDTF">2017-07-05T06:02:00Z</dcterms:created>
  <dcterms:modified xsi:type="dcterms:W3CDTF">2017-07-05T11:48:00Z</dcterms:modified>
</cp:coreProperties>
</file>